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jpeg" ContentType="image/jpeg"/>
  <Override PartName="/word/media/image2.wmf" ContentType="image/x-wmf"/>
  <Override PartName="/word/embeddings/oleObject1.bin" ContentType="application/vnd.openxmlformats-officedocument.oleObjec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word/_rels/document.xml.rels" ContentType="application/vnd.openxmlformats-package.relationships+xml"/>
  <Override PartName="/customXml/item1.xml" ContentType="application/xml"/>
  <Override PartName="/customXml/itemProps3.xml" ContentType="application/vnd.openxmlformats-officedocument.customXmlProperties+xml"/>
  <Override PartName="/customXml/itemProps1.xml" ContentType="application/vnd.openxmlformats-officedocument.customXmlProperties+xml"/>
  <Override PartName="/customXml/item2.xml" ContentType="application/xml"/>
  <Override PartName="/customXml/itemProps2.xml" ContentType="application/vnd.openxmlformats-officedocument.customXmlProperties+xml"/>
  <Override PartName="/customXml/_rels/item1.xml.rels" ContentType="application/vnd.openxmlformats-package.relationships+xml"/>
  <Override PartName="/customXml/_rels/item2.xml.rels" ContentType="application/vnd.openxmlformats-package.relationships+xml"/>
  <Override PartName="/customXml/_rels/item3.xml.rels" ContentType="application/vnd.openxmlformats-package.relationships+xml"/>
  <Override PartName="/customXml/item3.xml" ContentType="application/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rPr/>
      </w:pPr>
      <w:r>
        <w:rPr/>
        <w:drawing>
          <wp:anchor behindDoc="1" distT="0" distB="0" distL="0" distR="0" simplePos="0" locked="0" layoutInCell="1" allowOverlap="1" relativeHeight="2">
            <wp:simplePos x="0" y="0"/>
            <wp:positionH relativeFrom="column">
              <wp:posOffset>1428750</wp:posOffset>
            </wp:positionH>
            <wp:positionV relativeFrom="paragraph">
              <wp:posOffset>200025</wp:posOffset>
            </wp:positionV>
            <wp:extent cx="3395980" cy="234315"/>
            <wp:effectExtent l="0" t="0" r="0" b="0"/>
            <wp:wrapNone/>
            <wp:docPr id="1" name="Obraz 1" descr="kol p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kol pol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980" cy="234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object>
          <v:shapetype id="_x0000_tole_rId3" coordsize="21600,21600" o:spt="ole_rId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" type="_x0000_tole_rId3" style="width:49.5pt;height:63pt;mso-wrap-distance-right:0pt" filled="f" o:ole="">
            <v:imagedata r:id="rId4" o:title=""/>
          </v:shape>
          <o:OLEObject Type="Embed" ProgID="CorelDraw.Graphic.15" ShapeID="ole_rId3" DrawAspect="Content" ObjectID="_1853943376" r:id="rId3"/>
        </w:object>
      </w:r>
    </w:p>
    <w:p>
      <w:pPr>
        <w:pStyle w:val="Normal"/>
        <w:spacing w:lineRule="auto" w:line="276"/>
        <w:jc w:val="center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  <w:t>SYLABUS ZAJĘĆ</w:t>
      </w:r>
    </w:p>
    <w:p>
      <w:pPr>
        <w:pStyle w:val="Normal"/>
        <w:spacing w:lineRule="auto" w:line="276"/>
        <w:jc w:val="center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  <w:t>Informacje ogólne</w:t>
      </w:r>
    </w:p>
    <w:p>
      <w:pPr>
        <w:pStyle w:val="Normal"/>
        <w:spacing w:lineRule="auto" w:line="276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</w:r>
    </w:p>
    <w:tbl>
      <w:tblPr>
        <w:tblW w:w="9356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4720"/>
        <w:gridCol w:w="4635"/>
      </w:tblGrid>
      <w:tr>
        <w:trPr>
          <w:trHeight w:val="397" w:hRule="atLeast"/>
        </w:trPr>
        <w:tc>
          <w:tcPr>
            <w:tcW w:w="93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Nazwa ZAJĘĆ: </w:t>
            </w:r>
            <w:r>
              <w:rPr>
                <w:rFonts w:eastAsia="Calibri"/>
                <w:b/>
                <w:bCs/>
                <w:i/>
                <w:iCs/>
                <w:lang w:eastAsia="en-US"/>
              </w:rPr>
              <w:t>Digital marketing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Rodzaj ZAJĘĆ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Obieralny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Wydział PUM 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Nauk o Zdrowiu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Kierunek studiów 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>
                <w:rFonts w:eastAsia="Calibri"/>
                <w:i/>
                <w:iCs/>
                <w:lang w:eastAsia="en-US"/>
              </w:rPr>
              <w:t xml:space="preserve">Dietetyka Kliniczna 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Specjalność 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Poziom studiów 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vertAlign w:val="superscript"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jednolite magisterskie □</w:t>
            </w:r>
          </w:p>
          <w:p>
            <w:pPr>
              <w:pStyle w:val="Normal"/>
              <w:rPr>
                <w:rFonts w:eastAsia="Calibri"/>
                <w:b/>
                <w:i/>
                <w:i/>
                <w:lang w:eastAsia="en-US"/>
              </w:rPr>
            </w:pPr>
            <w:r>
              <w:rPr>
                <w:rFonts w:eastAsia="Calibri"/>
                <w:bCs/>
                <w:i/>
                <w:lang w:eastAsia="en-US"/>
              </w:rPr>
              <w:t>I stopnia</w:t>
            </w:r>
            <w:r>
              <w:rPr>
                <w:rFonts w:eastAsia="Calibri"/>
                <w:b/>
                <w:bCs/>
                <w:i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="Calibri"/>
                <w:i/>
                <w:lang w:eastAsia="en-US"/>
              </w:rPr>
              <w:t>□</w:t>
            </w:r>
          </w:p>
          <w:p>
            <w:pPr>
              <w:pStyle w:val="Normal"/>
              <w:rPr>
                <w:rFonts w:eastAsia="Calibri"/>
                <w:b/>
                <w:bCs/>
                <w:i/>
                <w:i/>
                <w:lang w:eastAsia="en-US"/>
              </w:rPr>
            </w:pPr>
            <w:r>
              <w:rPr>
                <w:rFonts w:eastAsia="Calibri"/>
                <w:b/>
                <w:bCs/>
                <w:i/>
                <w:lang w:eastAsia="en-US"/>
              </w:rPr>
              <w:t>II stopnia X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Forma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b/>
                <w:bCs/>
                <w:i/>
                <w:lang w:eastAsia="en-US"/>
              </w:rPr>
              <w:t>stacjonarne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Rok studiów /semestr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II rok/semestr letni 2024/2025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Liczba przypisanych punktów ECTS 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2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Formy prowadzenia zajęć (liczba godzin)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E-learning – 20h </w:t>
            </w:r>
          </w:p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val="en-US" w:eastAsia="en-US"/>
              </w:rPr>
              <w:t>Seminaria – 10h</w:t>
            </w:r>
            <w:r>
              <w:rPr>
                <w:rFonts w:eastAsia="Calibri"/>
                <w:i/>
                <w:iCs/>
                <w:lang w:eastAsia="en-US"/>
              </w:rPr>
              <w:t xml:space="preserve">  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Sposoby weryfikacji i oceny efektów uczenia się 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 zaliczenie na ocenę:</w:t>
            </w:r>
          </w:p>
          <w:p>
            <w:pPr>
              <w:pStyle w:val="Normal"/>
              <w:rPr>
                <w:rFonts w:eastAsia="Calibri"/>
                <w:bCs/>
                <w:i/>
                <w:i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□</w:t>
            </w:r>
            <w:r>
              <w:rPr/>
              <w:tab/>
            </w:r>
            <w:r>
              <w:rPr>
                <w:rFonts w:eastAsia="Calibri"/>
                <w:i/>
                <w:iCs/>
                <w:lang w:eastAsia="en-US"/>
              </w:rPr>
              <w:t>opisowe</w:t>
            </w:r>
          </w:p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□</w:t>
            </w:r>
            <w:r>
              <w:rPr>
                <w:rFonts w:eastAsia="Calibri"/>
                <w:b/>
                <w:bCs/>
                <w:i/>
                <w:iCs/>
                <w:lang w:eastAsia="en-US"/>
              </w:rPr>
              <w:t xml:space="preserve">        </w:t>
            </w: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testowe</w:t>
            </w:r>
          </w:p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 w:val="false"/>
                <w:iCs w:val="false"/>
                <w:lang w:eastAsia="en-US"/>
              </w:rPr>
              <w:t>X</w:t>
            </w:r>
            <w:r>
              <w:rPr/>
              <w:tab/>
            </w:r>
            <w:r>
              <w:rPr>
                <w:rFonts w:eastAsia="Calibri"/>
                <w:b/>
                <w:bCs/>
                <w:i/>
                <w:iCs/>
                <w:lang w:eastAsia="en-US"/>
              </w:rPr>
              <w:t>praktyczne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□</w:t>
            </w:r>
            <w:r>
              <w:rPr>
                <w:rFonts w:eastAsia="Calibri"/>
                <w:i/>
                <w:lang w:eastAsia="en-US"/>
              </w:rPr>
              <w:tab/>
              <w:t>ustne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</w:r>
          </w:p>
          <w:p>
            <w:pPr>
              <w:pStyle w:val="Normal"/>
              <w:numPr>
                <w:ilvl w:val="0"/>
                <w:numId w:val="5"/>
              </w:numPr>
              <w:ind w:hanging="360" w:left="347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 xml:space="preserve">zaliczenie bez oceny 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 egzamin końcowy:</w:t>
            </w:r>
          </w:p>
          <w:p>
            <w:pPr>
              <w:pStyle w:val="Normal"/>
              <w:numPr>
                <w:ilvl w:val="0"/>
                <w:numId w:val="4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opisowy</w:t>
            </w:r>
          </w:p>
          <w:p>
            <w:pPr>
              <w:pStyle w:val="Normal"/>
              <w:numPr>
                <w:ilvl w:val="0"/>
                <w:numId w:val="4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testowy</w:t>
            </w:r>
          </w:p>
          <w:p>
            <w:pPr>
              <w:pStyle w:val="Normal"/>
              <w:numPr>
                <w:ilvl w:val="0"/>
                <w:numId w:val="4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praktyczny</w:t>
            </w:r>
          </w:p>
          <w:p>
            <w:pPr>
              <w:pStyle w:val="Normal"/>
              <w:numPr>
                <w:ilvl w:val="0"/>
                <w:numId w:val="4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ustny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Kierownik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Cs/>
                <w:lang w:eastAsia="en-US"/>
              </w:rPr>
            </w:pPr>
            <w:r>
              <w:rPr>
                <w:rFonts w:eastAsia="Calibri"/>
                <w:iCs/>
                <w:lang w:eastAsia="en-US"/>
              </w:rPr>
              <w:t>Prof. dr hab. n. zdr. Beata Karakiewicz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Adiunkt dydaktyczny lub osoba odpowiedzialna za przedmiot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mgr Krzysztof Dąbrowski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Nazwa i dane kontaktowe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Web"/>
              <w:spacing w:beforeAutospacing="0" w:before="0" w:afterAutospacing="0" w:after="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 xml:space="preserve">Katedra Medycyny Społecznej. </w:t>
            </w:r>
          </w:p>
          <w:p>
            <w:pPr>
              <w:pStyle w:val="NormalWeb"/>
              <w:spacing w:beforeAutospacing="0" w:before="0" w:afterAutospacing="0" w:after="0"/>
              <w:rPr>
                <w:rFonts w:eastAsia="Calibri"/>
                <w:iCs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Zakład Medycyny Społecznej i Zdrowia Publicznego; Pomorski Uniwersytet Medyczny w Szczecinie,</w:t>
            </w:r>
            <w:r>
              <w:rPr>
                <w:rFonts w:eastAsia="Calibri"/>
                <w:iCs/>
                <w:lang w:eastAsia="en-US"/>
              </w:rPr>
              <w:t xml:space="preserve"> </w:t>
              <w:br/>
              <w:t xml:space="preserve">ul. Żołnierska 48, pok. 302, </w:t>
            </w:r>
          </w:p>
          <w:p>
            <w:pPr>
              <w:pStyle w:val="NormalWeb"/>
              <w:spacing w:beforeAutospacing="0" w:before="0" w:afterAutospacing="0" w:after="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Cs/>
                <w:lang w:eastAsia="en-US"/>
              </w:rPr>
              <w:t>71-210 Szczecin. tel. +48 91 48 00 920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Strona internetowa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https://www.pum.edu.pl/studenci/informacje_z_jednostek/wnoz/katedra_medycyny_spolecznej/zaklad_medycyny_spolecznej_i_zdrowia_publicznego/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Język prowadzenia zajęć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tabs>
                <w:tab w:val="clear" w:pos="708"/>
                <w:tab w:val="left" w:pos="4073" w:leader="none"/>
              </w:tabs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b/>
                <w:i/>
                <w:lang w:eastAsia="en-US"/>
              </w:rPr>
              <w:t>polski</w:t>
            </w:r>
          </w:p>
        </w:tc>
      </w:tr>
    </w:tbl>
    <w:p>
      <w:pPr>
        <w:pStyle w:val="Normal"/>
        <w:spacing w:lineRule="auto" w:line="276" w:before="0" w:after="200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</w:r>
    </w:p>
    <w:p>
      <w:pPr>
        <w:pStyle w:val="Normal"/>
        <w:spacing w:lineRule="auto" w:line="276" w:before="0" w:after="200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     </w:t>
      </w:r>
      <w:r>
        <w:rPr>
          <w:rFonts w:eastAsia="Calibri"/>
          <w:b/>
          <w:lang w:eastAsia="en-US"/>
        </w:rPr>
        <w:t>*zaznaczyć odpowiednio, zmieniając □ na X</w:t>
      </w:r>
    </w:p>
    <w:p>
      <w:pPr>
        <w:pStyle w:val="Normal"/>
        <w:spacing w:lineRule="auto" w:line="276" w:before="0" w:after="200"/>
        <w:jc w:val="center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>Informacje szczegółowe</w:t>
      </w:r>
    </w:p>
    <w:tbl>
      <w:tblPr>
        <w:tblW w:w="9552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395"/>
        <w:gridCol w:w="1885"/>
        <w:gridCol w:w="5272"/>
      </w:tblGrid>
      <w:tr>
        <w:trPr>
          <w:trHeight w:val="397" w:hRule="atLeast"/>
        </w:trPr>
        <w:tc>
          <w:tcPr>
            <w:tcW w:w="42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Cele zajęć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 xml:space="preserve">Celem przedmiotu jest uzyskanie wiedzy i umiejętności w temacie nowoczesnego marketingu opartego na działalności w przestrzeni internetowej. Szczególny nacisk położono na funkcjonowanie marketingowe w mediach społecznościowych oraz wykorzystanie najnowszych technologii. </w:t>
            </w:r>
          </w:p>
        </w:tc>
      </w:tr>
      <w:tr>
        <w:trPr>
          <w:trHeight w:val="397" w:hRule="atLeast"/>
        </w:trPr>
        <w:tc>
          <w:tcPr>
            <w:tcW w:w="239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highlight w:val="yellow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Wymagania wstępne w zakresie </w:t>
            </w:r>
          </w:p>
        </w:tc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Wiedzy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/>
              <w:t>Wiedza z zakresu nauk społecznych – kompetencje bazowe szkoły średniej.</w:t>
            </w:r>
          </w:p>
        </w:tc>
      </w:tr>
      <w:tr>
        <w:trPr>
          <w:trHeight w:val="397" w:hRule="atLeast"/>
        </w:trPr>
        <w:tc>
          <w:tcPr>
            <w:tcW w:w="2395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Umiejętności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lang w:eastAsia="en-US"/>
              </w:rPr>
            </w:pPr>
            <w:r>
              <w:rPr/>
              <w:t>Korzystanie z aktualnej wiedzy, organizowanie pracy własnej, praca w zespole.</w:t>
            </w:r>
          </w:p>
        </w:tc>
      </w:tr>
      <w:tr>
        <w:trPr>
          <w:trHeight w:val="397" w:hRule="atLeast"/>
        </w:trPr>
        <w:tc>
          <w:tcPr>
            <w:tcW w:w="2395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Kompetencji społecznych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Umiejętność pracy w grupie, identyfikowanie i przedstawianie własnych doświadczeń.</w:t>
            </w:r>
          </w:p>
        </w:tc>
      </w:tr>
    </w:tbl>
    <w:p>
      <w:pPr>
        <w:pStyle w:val="Normal"/>
        <w:spacing w:lineRule="auto" w:line="276" w:before="0" w:after="200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tbl>
      <w:tblPr>
        <w:tblW w:w="10065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599"/>
        <w:gridCol w:w="3025"/>
        <w:gridCol w:w="472"/>
        <w:gridCol w:w="115"/>
        <w:gridCol w:w="611"/>
        <w:gridCol w:w="612"/>
        <w:gridCol w:w="611"/>
        <w:gridCol w:w="739"/>
        <w:gridCol w:w="485"/>
        <w:gridCol w:w="611"/>
        <w:gridCol w:w="615"/>
        <w:gridCol w:w="562"/>
        <w:gridCol w:w="6"/>
      </w:tblGrid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Batang"/>
                <w:b/>
              </w:rPr>
              <w:t>EFEKTY UCZENIA SIĘ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63" w:hRule="atLeast"/>
        </w:trPr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 xml:space="preserve">lp. efektu uczenia się </w:t>
            </w:r>
          </w:p>
        </w:tc>
        <w:tc>
          <w:tcPr>
            <w:tcW w:w="3612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Student, który zaliczył ZAJĘCIA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wie/umie/potrafi:</w:t>
            </w:r>
          </w:p>
        </w:tc>
        <w:tc>
          <w:tcPr>
            <w:tcW w:w="25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 xml:space="preserve">SYMBOL 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 xml:space="preserve">(odniesienie do) 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efektów uczenia się dla kierunku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Sposób weryfikacji efektów UCZENIA SIĘ*</w:t>
            </w:r>
          </w:p>
          <w:p>
            <w:pPr>
              <w:pStyle w:val="Normal"/>
              <w:spacing w:lineRule="auto" w:line="276"/>
              <w:jc w:val="center"/>
              <w:rPr>
                <w:b/>
                <w:strike/>
              </w:rPr>
            </w:pPr>
            <w:r>
              <w:rPr>
                <w:b/>
                <w:strike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W01</w:t>
            </w:r>
          </w:p>
        </w:tc>
        <w:tc>
          <w:tcPr>
            <w:tcW w:w="3612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 w:before="0" w:after="160"/>
              <w:rPr>
                <w:rFonts w:ascii="Times New Roman" w:hAnsi="Times New Roman" w:eastAsia="Times New Roman" w:cs="Times New Roman"/>
                <w:kern w:val="2"/>
                <w:sz w:val="22"/>
                <w:szCs w:val="22"/>
                <w:lang w:val="pl-PL"/>
              </w:rPr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Rozpoznawać kulturowe, społeczne, socjologiczne i ekonomiczne zasady funkcjonowania rynku usług w kontekście zarządzania marketingowego.</w:t>
            </w:r>
          </w:p>
        </w:tc>
        <w:tc>
          <w:tcPr>
            <w:tcW w:w="257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DK2_W07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S, PS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U01</w:t>
            </w:r>
          </w:p>
        </w:tc>
        <w:tc>
          <w:tcPr>
            <w:tcW w:w="3612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Korzystać z umiejętności wyszukiwania, zrozumienia, analizy i wykorzystania potrzebnych informacji pochodzących z literatury, baz danych i innych źródeł.</w:t>
            </w:r>
          </w:p>
        </w:tc>
        <w:tc>
          <w:tcPr>
            <w:tcW w:w="257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DK2_U04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S, PS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U02</w:t>
            </w:r>
          </w:p>
        </w:tc>
        <w:tc>
          <w:tcPr>
            <w:tcW w:w="3612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ascii="Times New Roman" w:hAnsi="Times New Roman" w:eastAsia="Times New Roman" w:cs="Times New Roman"/>
                <w:sz w:val="22"/>
                <w:szCs w:val="22"/>
                <w:lang w:val="pl-PL"/>
              </w:rPr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Stosować zasady związane z otwieraniem i prowadzeniem działalności gospodarczej w kontekście nowoczesnego marketingu.</w:t>
            </w:r>
          </w:p>
        </w:tc>
        <w:tc>
          <w:tcPr>
            <w:tcW w:w="257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DK2_U08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S, PS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K01</w:t>
            </w:r>
          </w:p>
        </w:tc>
        <w:tc>
          <w:tcPr>
            <w:tcW w:w="3612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Myśleć i działać w sposób przedsiębiorczy.</w:t>
            </w:r>
          </w:p>
        </w:tc>
        <w:tc>
          <w:tcPr>
            <w:tcW w:w="257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DK2_K07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S, PS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spacing w:lineRule="auto" w:line="276"/>
              <w:rPr>
                <w:rFonts w:eastAsia="Calibri"/>
                <w:b/>
                <w:lang w:eastAsia="en-US"/>
              </w:rPr>
            </w:pPr>
            <w:r>
              <w:rPr>
                <w:rFonts w:eastAsia="Batang"/>
                <w:b/>
              </w:rPr>
              <w:t>Tabela efektów UCZENIA SIĘ</w:t>
            </w:r>
            <w:r>
              <w:rPr>
                <w:rFonts w:eastAsia="Calibri"/>
                <w:b/>
                <w:lang w:eastAsia="en-US"/>
              </w:rPr>
              <w:t xml:space="preserve"> w odniesieniu do formy zajęć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23" w:hRule="atLeast"/>
          <w:cantSplit w:val="true"/>
        </w:trPr>
        <w:tc>
          <w:tcPr>
            <w:tcW w:w="1599" w:type="dxa"/>
            <w:vMerge w:val="restart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lp. efektu uczenia się</w:t>
            </w:r>
          </w:p>
        </w:tc>
        <w:tc>
          <w:tcPr>
            <w:tcW w:w="3612" w:type="dxa"/>
            <w:gridSpan w:val="3"/>
            <w:vMerge w:val="restart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Efekty uczenia się</w:t>
            </w:r>
          </w:p>
        </w:tc>
        <w:tc>
          <w:tcPr>
            <w:tcW w:w="4852" w:type="dxa"/>
            <w:gridSpan w:val="9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Forma zajęć</w:t>
            </w:r>
          </w:p>
        </w:tc>
      </w:tr>
      <w:tr>
        <w:trPr>
          <w:trHeight w:val="1561" w:hRule="atLeast"/>
          <w:cantSplit w:val="true"/>
        </w:trPr>
        <w:tc>
          <w:tcPr>
            <w:tcW w:w="1599" w:type="dxa"/>
            <w:vMerge w:val="continue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b/>
              </w:rPr>
            </w:pPr>
            <w:r>
              <w:rPr>
                <w:b/>
              </w:rPr>
            </w:r>
          </w:p>
        </w:tc>
        <w:tc>
          <w:tcPr>
            <w:tcW w:w="3612" w:type="dxa"/>
            <w:gridSpan w:val="3"/>
            <w:vMerge w:val="continue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b/>
              </w:rPr>
            </w:pPr>
            <w:r>
              <w:rPr>
                <w:b/>
              </w:rPr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Wykład</w:t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b/>
              </w:rPr>
            </w:pPr>
            <w:r>
              <w:rPr>
                <w:b/>
              </w:rPr>
              <w:t>Seminarium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rFonts w:eastAsia="Batang"/>
                <w:b/>
              </w:rPr>
            </w:pPr>
            <w:r>
              <w:rPr>
                <w:b/>
              </w:rPr>
              <w:t>Ćwiczenia</w:t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rFonts w:eastAsia="Batang"/>
                <w:b/>
              </w:rPr>
            </w:pPr>
            <w:r>
              <w:rPr>
                <w:b/>
              </w:rPr>
              <w:t>Ćwiczenia kliniczne</w:t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Symulacje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 xml:space="preserve">E-learning </w:t>
            </w:r>
          </w:p>
        </w:tc>
        <w:tc>
          <w:tcPr>
            <w:tcW w:w="61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PWS</w:t>
            </w:r>
          </w:p>
        </w:tc>
        <w:tc>
          <w:tcPr>
            <w:tcW w:w="568" w:type="dxa"/>
            <w:gridSpan w:val="2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</w:r>
          </w:p>
        </w:tc>
      </w:tr>
      <w:tr>
        <w:trPr>
          <w:trHeight w:val="566" w:hRule="exact"/>
        </w:trPr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W01</w:t>
            </w:r>
          </w:p>
        </w:tc>
        <w:tc>
          <w:tcPr>
            <w:tcW w:w="36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DK2_W07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5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62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66" w:hRule="exact"/>
        </w:trPr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U01</w:t>
            </w:r>
          </w:p>
        </w:tc>
        <w:tc>
          <w:tcPr>
            <w:tcW w:w="36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DK2_U04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5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62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64" w:hRule="exact"/>
        </w:trPr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U02</w:t>
            </w:r>
          </w:p>
        </w:tc>
        <w:tc>
          <w:tcPr>
            <w:tcW w:w="36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DK2_U08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rPr/>
            </w:pPr>
            <w:r>
              <w:rPr/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5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62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700" w:hRule="exact"/>
        </w:trPr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K01</w:t>
            </w:r>
          </w:p>
        </w:tc>
        <w:tc>
          <w:tcPr>
            <w:tcW w:w="36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DK2_K07</w:t>
            </w:r>
          </w:p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5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62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TABELA TREŚCI PROGRAMOWYCH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Lp. treści programowej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Treści programowe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Liczba godzin</w:t>
            </w:r>
          </w:p>
        </w:tc>
        <w:tc>
          <w:tcPr>
            <w:tcW w:w="362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Odniesienie do efektów uczenia się do ZAJĘĆ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72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Semestr letni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72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 xml:space="preserve">E-learning: 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20</w:t>
            </w:r>
          </w:p>
        </w:tc>
        <w:tc>
          <w:tcPr>
            <w:tcW w:w="362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61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1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>
                <w:rFonts w:eastAsia="Calibri"/>
                <w:i/>
                <w:iCs/>
                <w:lang w:eastAsia="en-US"/>
              </w:rPr>
              <w:t>Wprowadzenie do marketingu – podstawowe pojęcia marketingu.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DK2_W07, DK2_U04, DK2_U08, DK2_K07</w:t>
            </w:r>
          </w:p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109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Uwarunkowania marketingu w XXI w. Jak zmienił się rynek na przestrzeni lat?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3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Budowa strategii i planów - przykładowe narzędzia w planowaniu kampanii marketingowych.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TK_4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Budowanie i podtrzymywanie relacji z klientami - wartość, satysfakcja i lojalność.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TK_5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Analiza rynku konsumenckiego - czynniki kształtujące zachowania konsumenckie.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TK_6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i/>
                <w:i/>
                <w:iCs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Budowanie </w:t>
            </w:r>
            <w:r>
              <w:rPr>
                <w:rFonts w:eastAsia="Calibri"/>
                <w:i/>
                <w:iCs/>
                <w:lang w:eastAsia="en-US"/>
              </w:rPr>
              <w:t>kapitału marki</w:t>
            </w:r>
            <w:r>
              <w:rPr>
                <w:rFonts w:eastAsia="Calibri"/>
                <w:i/>
                <w:iCs/>
                <w:lang w:eastAsia="en-US"/>
              </w:rPr>
              <w:t xml:space="preserve"> i zarządzanie </w:t>
            </w:r>
            <w:r>
              <w:rPr>
                <w:rFonts w:eastAsia="Calibri"/>
                <w:i/>
                <w:iCs/>
                <w:lang w:eastAsia="en-US"/>
              </w:rPr>
              <w:t>nim.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_7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Sztuka pozycjonowania marki </w:t>
            </w:r>
            <w:r>
              <w:rPr>
                <w:rFonts w:eastAsia="Calibri"/>
                <w:i/>
                <w:iCs/>
                <w:lang w:eastAsia="en-US"/>
              </w:rPr>
              <w:t>na rynku usług.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u w:val="single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_8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>
                <w:rFonts w:eastAsia="Calibri"/>
                <w:i/>
                <w:iCs/>
                <w:lang w:eastAsia="en-US"/>
              </w:rPr>
              <w:t>Rola immersji w marketingu przyszłości - marketing 6.0.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  <w:t>K_W25, K_U29</w:t>
            </w:r>
          </w:p>
          <w:p>
            <w:pPr>
              <w:pStyle w:val="Normal"/>
              <w:spacing w:lineRule="auto" w:line="276"/>
              <w:rPr/>
            </w:pPr>
            <w:r>
              <w:rPr/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u w:val="single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_9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Metamarketing i rozwój platform społecznościowych.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u w:val="single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_10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Marketing multisensoryczny, przestrzenny i metamarketing – przykłady wykorzystania.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 xml:space="preserve">Seminaria: 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10</w:t>
            </w:r>
          </w:p>
        </w:tc>
        <w:tc>
          <w:tcPr>
            <w:tcW w:w="362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1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>
                <w:rFonts w:eastAsia="Calibri"/>
                <w:i/>
                <w:iCs/>
                <w:lang w:eastAsia="en-US"/>
              </w:rPr>
              <w:t>Na styku świata fizycznego i cyfrowego - wstęp do marketingu 6.0 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DK2_W07, DK2_U04, DK2_U08, DK2_K07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rPr/>
            </w:pPr>
            <w:r>
              <w:rPr>
                <w:rFonts w:eastAsia="Calibri"/>
                <w:lang w:eastAsia="en-US"/>
              </w:rPr>
              <w:t>TK_2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Technologie napędzające metamarketing i rozwój platform społecznościowych.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rPr/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3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i/>
                <w:i/>
                <w:iCs/>
              </w:rPr>
            </w:pPr>
            <w:r>
              <w:rPr>
                <w:rFonts w:eastAsia="Calibri"/>
                <w:i/>
                <w:iCs/>
                <w:lang w:eastAsia="en-US"/>
              </w:rPr>
              <w:t>Marketing multisensoryczny</w:t>
            </w:r>
            <w:r>
              <w:rPr>
                <w:rFonts w:eastAsia="Calibri"/>
                <w:i/>
                <w:iCs/>
                <w:lang w:eastAsia="en-US"/>
              </w:rPr>
              <w:t xml:space="preserve"> i jego rola w nowoczesnym marketingu.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rPr/>
            </w:pPr>
            <w:r>
              <w:rPr>
                <w:rFonts w:eastAsia="Calibri"/>
                <w:lang w:eastAsia="en-US"/>
              </w:rPr>
              <w:t>TK_4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i/>
                <w:i/>
                <w:iCs/>
              </w:rPr>
            </w:pPr>
            <w:r>
              <w:rPr>
                <w:rFonts w:eastAsia="Calibri"/>
                <w:i/>
                <w:iCs/>
                <w:lang w:eastAsia="en-US"/>
              </w:rPr>
              <w:t>Nowoczesny marketing doświadczeń - m</w:t>
            </w:r>
            <w:r>
              <w:rPr>
                <w:rFonts w:eastAsia="Calibri"/>
                <w:i/>
                <w:iCs/>
                <w:lang w:eastAsia="en-US"/>
              </w:rPr>
              <w:t>arketing przestrzenny.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rPr/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5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i/>
                <w:i/>
                <w:iCs/>
              </w:rPr>
            </w:pPr>
            <w:r>
              <w:rPr>
                <w:i/>
                <w:iCs/>
              </w:rPr>
              <w:t>Nowoczesny marketing doświadczeń - m</w:t>
            </w:r>
            <w:r>
              <w:rPr>
                <w:i/>
                <w:iCs/>
              </w:rPr>
              <w:t>arketing w metaświecie.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Zalecana literatura: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Literatura podstawowa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1. Kotler P., Keller K. L.: </w:t>
            </w:r>
            <w:r>
              <w:rPr>
                <w:rFonts w:eastAsia="Calibri"/>
                <w:i/>
                <w:iCs/>
                <w:lang w:eastAsia="en-US"/>
              </w:rPr>
              <w:t>Marketing</w:t>
            </w:r>
            <w:r>
              <w:rPr>
                <w:rFonts w:eastAsia="Calibri"/>
                <w:i w:val="false"/>
                <w:iCs w:val="false"/>
                <w:lang w:eastAsia="en-US"/>
              </w:rPr>
              <w:t>; wyd. Rebis, Poznań 2022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Literatura uzupełniająca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1. Kotler P., Kartajaya H., Setiawan I.: </w:t>
            </w:r>
            <w:r>
              <w:rPr>
                <w:rFonts w:eastAsia="Calibri"/>
                <w:i/>
                <w:iCs/>
                <w:lang w:eastAsia="en-US"/>
              </w:rPr>
              <w:t>Marketing 6.0</w:t>
            </w:r>
            <w:r>
              <w:rPr>
                <w:rFonts w:eastAsia="Calibri"/>
                <w:i w:val="false"/>
                <w:iCs w:val="false"/>
                <w:lang w:eastAsia="en-US"/>
              </w:rPr>
              <w:t>, wyd. MT Biznes, Warszawa 2024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 xml:space="preserve">Nakład pracy studenta  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84" w:hRule="atLeast"/>
        </w:trPr>
        <w:tc>
          <w:tcPr>
            <w:tcW w:w="462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Forma nakładu pracy studenta 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(udział w zajęciach, aktywność, przygotowanie sprawozdania, itp.)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Obciążenie studenta [h]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</w:tr>
      <w:tr>
        <w:trPr>
          <w:trHeight w:val="584" w:hRule="atLeast"/>
        </w:trPr>
        <w:tc>
          <w:tcPr>
            <w:tcW w:w="4624" w:type="dxa"/>
            <w:gridSpan w:val="2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 ocenie (opinii) nauczyciela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Godziny kontaktowe z nauczycielem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E-learning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ćwiczeń/seminarium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5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Czytanie wskazanej literatury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5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prac pisemnych (zadań)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15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kolokwium/kartkówki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testu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Sumaryczne obciążenie pracy studenta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55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Punkty ECTS </w:t>
            </w:r>
          </w:p>
        </w:tc>
        <w:tc>
          <w:tcPr>
            <w:tcW w:w="5433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Uwagi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ind w:left="0"/>
              <w:rPr>
                <w:rFonts w:eastAsia="Calibri"/>
                <w:lang w:eastAsia="en-US"/>
              </w:rPr>
            </w:pP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>FORMA ZALICZENIA:</w:t>
            </w:r>
          </w:p>
          <w:p>
            <w:pPr>
              <w:pStyle w:val="Normal"/>
              <w:spacing w:lineRule="auto" w:line="240" w:beforeAutospacing="0" w:before="280" w:afterAutospacing="0" w:after="0"/>
              <w:ind w:left="0"/>
              <w:jc w:val="left"/>
              <w:rPr/>
            </w:pPr>
            <w:r>
              <w:rPr>
                <w:rFonts w:eastAsia="Times New Roman" w:cs="Times New Roman"/>
                <w:b/>
                <w:bCs/>
                <w:color w:themeColor="text1" w:val="000000"/>
                <w:sz w:val="24"/>
                <w:szCs w:val="24"/>
                <w:lang w:val="pl-PL"/>
              </w:rPr>
              <w:t xml:space="preserve">Praca samodzielna studenta – </w:t>
            </w:r>
            <w:r>
              <w:rPr>
                <w:rFonts w:eastAsia="Times New Roman" w:cs="Times New Roman"/>
                <w:b w:val="false"/>
                <w:bCs w:val="false"/>
                <w:color w:themeColor="text1" w:val="000000"/>
                <w:sz w:val="24"/>
                <w:szCs w:val="24"/>
                <w:lang w:val="pl-PL"/>
              </w:rPr>
              <w:t>wykonanie zadań na podstawie udostępnionych przez wykładowcę na platformie e-learningowej materiałów dydaktycznych.</w:t>
            </w:r>
            <w:r>
              <w:rPr/>
              <w:br/>
            </w:r>
            <w:r>
              <w:rPr>
                <w:rFonts w:eastAsia="Times New Roman" w:cs="Times New Roman"/>
                <w:b/>
                <w:bCs/>
                <w:color w:themeColor="text1" w:val="000000"/>
                <w:sz w:val="24"/>
                <w:szCs w:val="24"/>
                <w:lang w:val="pl-PL"/>
              </w:rPr>
              <w:t>Obecność i aktywne uczestniczenie w seminariach.</w:t>
            </w:r>
          </w:p>
          <w:p>
            <w:pPr>
              <w:pStyle w:val="Normal"/>
              <w:spacing w:lineRule="auto" w:line="240" w:beforeAutospacing="0" w:before="280" w:afterAutospacing="0" w:after="0"/>
              <w:ind w:left="0"/>
              <w:jc w:val="left"/>
              <w:rPr>
                <w:rFonts w:ascii="Times New Roman" w:hAnsi="Times New Roman" w:eastAsia="Times New Roman" w:cs="Times New Roman"/>
                <w:b/>
                <w:bCs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>WARUNEK ZALICZENIA:</w:t>
            </w:r>
          </w:p>
          <w:p>
            <w:pPr>
              <w:pStyle w:val="ListParagraph"/>
              <w:numPr>
                <w:ilvl w:val="0"/>
                <w:numId w:val="3"/>
              </w:numPr>
              <w:spacing w:beforeAutospacing="0" w:before="240" w:afterAutospacing="0" w:after="240"/>
              <w:contextualSpacing/>
              <w:rPr>
                <w:rFonts w:ascii="Times New Roman" w:hAnsi="Times New Roman" w:eastAsia="Times New Roman" w:cs="Times New Roman"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 xml:space="preserve">Terminowe przesłanie wykonanych zadań i pozytywna ocena pracy studenta wystawiana na podstawie przedstawionych na platformie e-learningowej </w:t>
            </w:r>
            <w:r>
              <w:rPr/>
              <w:tab/>
            </w: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>wytycznych,</w:t>
            </w:r>
          </w:p>
          <w:p>
            <w:pPr>
              <w:pStyle w:val="ListParagraph"/>
              <w:numPr>
                <w:ilvl w:val="0"/>
                <w:numId w:val="2"/>
              </w:numPr>
              <w:spacing w:beforeAutospacing="0" w:before="240" w:afterAutospacing="0" w:after="240"/>
              <w:contextualSpacing/>
              <w:rPr>
                <w:rFonts w:ascii="Times New Roman" w:hAnsi="Times New Roman" w:eastAsia="Times New Roman" w:cs="Times New Roman"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>aktywne uczestnictwo w pracach grupowych i indywidualnych podczas zajęć,</w:t>
            </w:r>
          </w:p>
          <w:p>
            <w:pPr>
              <w:pStyle w:val="ListParagraph"/>
              <w:numPr>
                <w:ilvl w:val="0"/>
                <w:numId w:val="1"/>
              </w:numPr>
              <w:spacing w:beforeAutospacing="0" w:before="240" w:afterAutospacing="0" w:after="240"/>
              <w:contextualSpacing/>
              <w:rPr>
                <w:rFonts w:ascii="Times New Roman" w:hAnsi="Times New Roman" w:eastAsia="Times New Roman" w:cs="Times New Roman"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>obecność na wszystkich zajęciach lub usprawiedliwienie oraz nadrobienie nieobecności (w sposób określony przez wykładowcę) - zgodnie z Regulaminem studiów PUM.</w:t>
            </w:r>
          </w:p>
          <w:p>
            <w:pPr>
              <w:pStyle w:val="Normal"/>
              <w:ind w:left="72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</w:tbl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*Przykładowe sposoby weryfikacji efektów kształcenia: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EP – egzamin pisemny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EU - egzamin ustny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ET – egzamin testowy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EPR – egzamin praktyczny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K – kolokwium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R – referat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 – sprawdzenie umiejętności praktycznych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RZĆ – raport z ćwiczeń z dyskusją wyników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O - ocena aktywności i postawy studenta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SL - sprawozdanie laboratoryjne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SP – studium przypadku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PS - ocena umiejętności pracy samodzielnej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W – kartkówka przed rozpoczęciem zajęć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PM – prezentacja multimedialna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i inne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sectPr>
      <w:footerReference w:type="default" r:id="rId5"/>
      <w:type w:val="nextPage"/>
      <w:pgSz w:w="11906" w:h="16838"/>
      <w:pgMar w:left="851" w:right="991" w:gutter="0" w:header="0" w:top="567" w:footer="82" w:bottom="567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Times New Roman">
    <w:charset w:val="ee"/>
    <w:family w:val="roman"/>
    <w:pitch w:val="variable"/>
  </w:font>
  <w:font w:name="Tahoma">
    <w:charset w:val="ee"/>
    <w:family w:val="roman"/>
    <w:pitch w:val="variable"/>
  </w:font>
  <w:font w:name="Liberation Sans">
    <w:altName w:val="Arial"/>
    <w:charset w:val="ee"/>
    <w:family w:val="swiss"/>
    <w:pitch w:val="variable"/>
  </w:font>
  <w:font w:name="Arial">
    <w:charset w:val="ee"/>
    <w:family w:val="roman"/>
    <w:pitch w:val="variable"/>
  </w:font>
  <w:font w:name="Aptos">
    <w:charset w:val="01"/>
    <w:family w:val="auto"/>
    <w:pitch w:val="default"/>
  </w:font>
  <w:font w:name="Courier New">
    <w:charset w:val="01"/>
    <w:family w:val="modern"/>
    <w:pitch w:val="fixed"/>
  </w:font>
  <w:font w:name="Wingdings">
    <w:charset w:val="02"/>
    <w:family w:val="auto"/>
    <w:pitch w:val="variable"/>
  </w:font>
  <w:font w:name="Times New Roman">
    <w:charset w:val="01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>
        <w:sz w:val="16"/>
      </w:rPr>
    </w:pPr>
    <w:r>
      <w:rPr>
        <w:sz w:val="16"/>
      </w:rPr>
    </w:r>
  </w:p>
  <w:p>
    <w:pPr>
      <w:pStyle w:val="Footer"/>
      <w:jc w:val="right"/>
      <w:rPr>
        <w:sz w:val="16"/>
      </w:rPr>
    </w:pPr>
    <w:r>
      <w:rPr>
        <w:sz w:val="16"/>
      </w:rPr>
      <w:t xml:space="preserve">Strona </w:t>
    </w:r>
    <w:r>
      <w:rPr>
        <w:b/>
        <w:sz w:val="16"/>
      </w:rPr>
      <w:fldChar w:fldCharType="begin"/>
    </w:r>
    <w:r>
      <w:rPr>
        <w:sz w:val="16"/>
        <w:b/>
      </w:rPr>
      <w:instrText xml:space="preserve"> PAGE </w:instrText>
    </w:r>
    <w:r>
      <w:rPr>
        <w:sz w:val="16"/>
        <w:b/>
      </w:rPr>
      <w:fldChar w:fldCharType="separate"/>
    </w:r>
    <w:r>
      <w:rPr>
        <w:sz w:val="16"/>
        <w:b/>
      </w:rPr>
      <w:t>4</w:t>
    </w:r>
    <w:r>
      <w:rPr>
        <w:sz w:val="16"/>
        <w:b/>
      </w:rPr>
      <w:fldChar w:fldCharType="end"/>
    </w:r>
    <w:r>
      <w:rPr>
        <w:sz w:val="16"/>
      </w:rPr>
      <w:t xml:space="preserve"> z </w:t>
    </w:r>
    <w:r>
      <w:rPr>
        <w:b/>
        <w:sz w:val="16"/>
      </w:rPr>
      <w:fldChar w:fldCharType="begin"/>
    </w:r>
    <w:r>
      <w:rPr>
        <w:sz w:val="16"/>
        <w:b/>
      </w:rPr>
      <w:instrText xml:space="preserve"> NUMPAGES </w:instrText>
    </w:r>
    <w:r>
      <w:rPr>
        <w:sz w:val="16"/>
        <w:b/>
      </w:rPr>
      <w:fldChar w:fldCharType="separate"/>
    </w:r>
    <w:r>
      <w:rPr>
        <w:sz w:val="16"/>
        <w:b/>
      </w:rPr>
      <w:t>4</w:t>
    </w:r>
    <w:r>
      <w:rPr>
        <w:sz w:val="16"/>
        <w:b/>
      </w:rPr>
      <w:fldChar w:fldCharType="end"/>
    </w:r>
  </w:p>
</w:ft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ptos" w:hAnsi="Aptos" w:cs="Apto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"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ptos" w:hAnsi="Aptos" w:cs="Apto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ptos" w:hAnsi="Aptos" w:cs="Apto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">
    <w:lvl w:ilvl="0">
      <w:start w:val="1"/>
      <w:numFmt w:val="bullet"/>
      <w:lvlText w:val="□"/>
      <w:lvlJc w:val="center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">
    <w:lvl w:ilvl="0">
      <w:start w:val="1"/>
      <w:numFmt w:val="bullet"/>
      <w:lvlText w:val="□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w="http://schemas.openxmlformats.org/wordprocessingml/2006/main">
  <w:zoom w:percent="130"/>
  <w:embedSystemFonts/>
  <w:defaultTabStop w:val="708"/>
  <w:autoHyphenation w:val="true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themeFontLang w:val="pl-PL" w:eastAsia="ja-JP" w:bidi="ar-SA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Times New Roman" w:cs="Times New Roman"/>
        <w:lang w:val="pl-PL" w:eastAsia="ja-JP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c567b9"/>
    <w:pPr>
      <w:widowControl/>
      <w:bidi w:val="0"/>
      <w:spacing w:before="0" w:after="0"/>
      <w:jc w:val="left"/>
    </w:pPr>
    <w:rPr>
      <w:rFonts w:ascii="Times New Roman" w:hAnsi="Times New Roman" w:eastAsia="Times New Roman" w:cs="Times New Roman"/>
      <w:color w:val="auto"/>
      <w:kern w:val="0"/>
      <w:sz w:val="24"/>
      <w:szCs w:val="24"/>
      <w:lang w:eastAsia="pl-PL" w:val="pl-PL" w:bidi="ar-SA"/>
    </w:rPr>
  </w:style>
  <w:style w:type="paragraph" w:styleId="Heading1">
    <w:name w:val="Heading 1"/>
    <w:basedOn w:val="Normal"/>
    <w:next w:val="Normal"/>
    <w:link w:val="Nagwek1Znak"/>
    <w:qFormat/>
    <w:pPr>
      <w:keepNext w:val="true"/>
      <w:outlineLvl w:val="0"/>
    </w:pPr>
    <w:rPr>
      <w:b/>
      <w:bCs/>
    </w:rPr>
  </w:style>
  <w:style w:type="character" w:styleId="DefaultParagraphFont" w:default="1">
    <w:name w:val="Default Paragraph Font"/>
    <w:uiPriority w:val="1"/>
    <w:unhideWhenUsed/>
    <w:qFormat/>
    <w:rPr/>
  </w:style>
  <w:style w:type="character" w:styleId="Hyperlink">
    <w:name w:val="Hyperlink"/>
    <w:uiPriority w:val="99"/>
    <w:unhideWhenUsed/>
    <w:rsid w:val="00ef78c4"/>
    <w:rPr>
      <w:strike w:val="false"/>
      <w:dstrike w:val="false"/>
      <w:color w:val="BE0404"/>
      <w:u w:val="none"/>
      <w:effect w:val="none"/>
    </w:rPr>
  </w:style>
  <w:style w:type="character" w:styleId="Annotationreference">
    <w:name w:val="annotation reference"/>
    <w:uiPriority w:val="99"/>
    <w:semiHidden/>
    <w:unhideWhenUsed/>
    <w:qFormat/>
    <w:rsid w:val="00c02770"/>
    <w:rPr>
      <w:sz w:val="16"/>
      <w:szCs w:val="16"/>
    </w:rPr>
  </w:style>
  <w:style w:type="character" w:styleId="TekstkomentarzaZnak" w:customStyle="1">
    <w:name w:val="Tekst komentarza Znak"/>
    <w:basedOn w:val="DefaultParagraphFont"/>
    <w:link w:val="Annotationtext"/>
    <w:uiPriority w:val="99"/>
    <w:semiHidden/>
    <w:qFormat/>
    <w:rsid w:val="00c02770"/>
    <w:rPr/>
  </w:style>
  <w:style w:type="character" w:styleId="TematkomentarzaZnak" w:customStyle="1">
    <w:name w:val="Temat komentarza Znak"/>
    <w:link w:val="Annotationsubject"/>
    <w:uiPriority w:val="99"/>
    <w:semiHidden/>
    <w:qFormat/>
    <w:rsid w:val="00c02770"/>
    <w:rPr>
      <w:b/>
      <w:bCs/>
    </w:rPr>
  </w:style>
  <w:style w:type="character" w:styleId="TekstdymkaZnak" w:customStyle="1">
    <w:name w:val="Tekst dymka Znak"/>
    <w:link w:val="BalloonText"/>
    <w:uiPriority w:val="99"/>
    <w:semiHidden/>
    <w:qFormat/>
    <w:rsid w:val="00c02770"/>
    <w:rPr>
      <w:rFonts w:ascii="Tahoma" w:hAnsi="Tahoma" w:cs="Tahoma"/>
      <w:sz w:val="16"/>
      <w:szCs w:val="16"/>
    </w:rPr>
  </w:style>
  <w:style w:type="character" w:styleId="TekstprzypisudolnegoZnak" w:customStyle="1">
    <w:name w:val="Tekst przypisu dolnego Znak"/>
    <w:basedOn w:val="DefaultParagraphFont"/>
    <w:uiPriority w:val="99"/>
    <w:semiHidden/>
    <w:qFormat/>
    <w:rsid w:val="00190dc4"/>
    <w:rPr/>
  </w:style>
  <w:style w:type="character" w:styleId="Znakiprzypiswdolnych">
    <w:name w:val="Znaki przypisów dolnych"/>
    <w:uiPriority w:val="99"/>
    <w:semiHidden/>
    <w:unhideWhenUsed/>
    <w:qFormat/>
    <w:rsid w:val="00190dc4"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Nagwek1Znak" w:customStyle="1">
    <w:name w:val="Nagłówek 1 Znak"/>
    <w:qFormat/>
    <w:rsid w:val="00190dc4"/>
    <w:rPr>
      <w:b/>
      <w:bCs/>
      <w:sz w:val="24"/>
      <w:szCs w:val="24"/>
    </w:rPr>
  </w:style>
  <w:style w:type="character" w:styleId="NagwekZnak" w:customStyle="1">
    <w:name w:val="Nagłówek Znak"/>
    <w:uiPriority w:val="99"/>
    <w:qFormat/>
    <w:rsid w:val="00146b7d"/>
    <w:rPr>
      <w:sz w:val="24"/>
      <w:szCs w:val="24"/>
    </w:rPr>
  </w:style>
  <w:style w:type="character" w:styleId="StopkaZnak" w:customStyle="1">
    <w:name w:val="Stopka Znak"/>
    <w:uiPriority w:val="99"/>
    <w:qFormat/>
    <w:rsid w:val="00146b7d"/>
    <w:rPr>
      <w:sz w:val="24"/>
      <w:szCs w:val="24"/>
    </w:rPr>
  </w:style>
  <w:style w:type="character" w:styleId="TekstprzypisukocowegoZnak" w:customStyle="1">
    <w:name w:val="Tekst przypisu końcowego Znak"/>
    <w:basedOn w:val="DefaultParagraphFont"/>
    <w:uiPriority w:val="99"/>
    <w:semiHidden/>
    <w:qFormat/>
    <w:rsid w:val="00942aac"/>
    <w:rPr/>
  </w:style>
  <w:style w:type="character" w:styleId="Znakiprzypiswkocowych">
    <w:name w:val="Znaki przypisów końcowych"/>
    <w:uiPriority w:val="99"/>
    <w:semiHidden/>
    <w:unhideWhenUsed/>
    <w:qFormat/>
    <w:rsid w:val="00942aac"/>
    <w:rPr>
      <w:vertAlign w:val="superscript"/>
    </w:rPr>
  </w:style>
  <w:style w:type="character" w:styleId="EndnoteReference">
    <w:name w:val="Endnote Reference"/>
    <w:rPr>
      <w:vertAlign w:val="superscript"/>
    </w:rPr>
  </w:style>
  <w:style w:type="character" w:styleId="UnresolvedMention">
    <w:name w:val="Unresolved Mention"/>
    <w:uiPriority w:val="99"/>
    <w:semiHidden/>
    <w:unhideWhenUsed/>
    <w:qFormat/>
    <w:rsid w:val="00c162a4"/>
    <w:rPr>
      <w:color w:val="605E5C"/>
      <w:shd w:fill="E1DFDD" w:val="clear"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BodyText">
    <w:name w:val="Body Text"/>
    <w:basedOn w:val="Normal"/>
    <w:pPr>
      <w:spacing w:lineRule="auto" w:line="192"/>
    </w:pPr>
    <w:rPr>
      <w:rFonts w:ascii="Arial" w:hAnsi="Arial" w:cs="Arial"/>
      <w:sz w:val="28"/>
      <w:szCs w:val="20"/>
    </w:rPr>
  </w:style>
  <w:style w:type="paragraph" w:styleId="List">
    <w:name w:val="List"/>
    <w:basedOn w:val="BodyText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Lucida Sans"/>
    </w:rPr>
  </w:style>
  <w:style w:type="paragraph" w:styleId="BodyTextIndent">
    <w:name w:val="Body Text Indent"/>
    <w:basedOn w:val="Normal"/>
    <w:pPr>
      <w:spacing w:lineRule="auto" w:line="192"/>
      <w:ind w:left="360"/>
    </w:pPr>
    <w:rPr>
      <w:rFonts w:ascii="Arial" w:hAnsi="Arial" w:cs="Arial"/>
      <w:sz w:val="28"/>
      <w:szCs w:val="20"/>
    </w:rPr>
  </w:style>
  <w:style w:type="paragraph" w:styleId="NormalWeb">
    <w:name w:val="Normal (Web)"/>
    <w:basedOn w:val="Normal"/>
    <w:uiPriority w:val="99"/>
    <w:qFormat/>
    <w:rsid w:val="00e30deb"/>
    <w:pPr>
      <w:spacing w:beforeAutospacing="1" w:afterAutospacing="1"/>
    </w:pPr>
    <w:rPr/>
  </w:style>
  <w:style w:type="paragraph" w:styleId="Annotationtext">
    <w:name w:val="annotation text"/>
    <w:basedOn w:val="Normal"/>
    <w:link w:val="TekstkomentarzaZnak"/>
    <w:uiPriority w:val="99"/>
    <w:semiHidden/>
    <w:unhideWhenUsed/>
    <w:qFormat/>
    <w:rsid w:val="00c02770"/>
    <w:pPr/>
    <w:rPr>
      <w:sz w:val="20"/>
      <w:szCs w:val="20"/>
    </w:rPr>
  </w:style>
  <w:style w:type="paragraph" w:styleId="Annotationsubject">
    <w:name w:val="annotation subject"/>
    <w:basedOn w:val="Annotationtext"/>
    <w:next w:val="Annotationtext"/>
    <w:link w:val="TematkomentarzaZnak"/>
    <w:uiPriority w:val="99"/>
    <w:semiHidden/>
    <w:unhideWhenUsed/>
    <w:qFormat/>
    <w:rsid w:val="00c02770"/>
    <w:pPr/>
    <w:rPr>
      <w:b/>
      <w:bCs/>
    </w:rPr>
  </w:style>
  <w:style w:type="paragraph" w:styleId="BalloonText">
    <w:name w:val="Balloon Text"/>
    <w:basedOn w:val="Normal"/>
    <w:link w:val="TekstdymkaZnak"/>
    <w:uiPriority w:val="99"/>
    <w:semiHidden/>
    <w:unhideWhenUsed/>
    <w:qFormat/>
    <w:rsid w:val="00c02770"/>
    <w:pPr/>
    <w:rPr>
      <w:rFonts w:ascii="Tahoma" w:hAnsi="Tahoma"/>
      <w:sz w:val="16"/>
      <w:szCs w:val="16"/>
    </w:rPr>
  </w:style>
  <w:style w:type="paragraph" w:styleId="FootnoteText">
    <w:name w:val="Footnote Text"/>
    <w:basedOn w:val="Normal"/>
    <w:link w:val="TekstprzypisudolnegoZnak"/>
    <w:uiPriority w:val="99"/>
    <w:semiHidden/>
    <w:unhideWhenUsed/>
    <w:rsid w:val="00190dc4"/>
    <w:pPr/>
    <w:rPr>
      <w:sz w:val="20"/>
      <w:szCs w:val="20"/>
    </w:rPr>
  </w:style>
  <w:style w:type="paragraph" w:styleId="Gwkaistopka">
    <w:name w:val="Główka i stopka"/>
    <w:basedOn w:val="Normal"/>
    <w:qFormat/>
    <w:pPr/>
    <w:rPr/>
  </w:style>
  <w:style w:type="paragraph" w:styleId="Header">
    <w:name w:val="Header"/>
    <w:basedOn w:val="Normal"/>
    <w:link w:val="NagwekZnak"/>
    <w:uiPriority w:val="99"/>
    <w:unhideWhenUsed/>
    <w:rsid w:val="00146b7d"/>
    <w:pPr>
      <w:tabs>
        <w:tab w:val="clear" w:pos="708"/>
        <w:tab w:val="center" w:pos="4536" w:leader="none"/>
        <w:tab w:val="right" w:pos="9072" w:leader="none"/>
      </w:tabs>
    </w:pPr>
    <w:rPr/>
  </w:style>
  <w:style w:type="paragraph" w:styleId="Footer">
    <w:name w:val="Footer"/>
    <w:basedOn w:val="Normal"/>
    <w:link w:val="StopkaZnak"/>
    <w:uiPriority w:val="99"/>
    <w:unhideWhenUsed/>
    <w:rsid w:val="00146b7d"/>
    <w:pPr>
      <w:tabs>
        <w:tab w:val="clear" w:pos="708"/>
        <w:tab w:val="center" w:pos="4536" w:leader="none"/>
        <w:tab w:val="right" w:pos="9072" w:leader="none"/>
      </w:tabs>
    </w:pPr>
    <w:rPr/>
  </w:style>
  <w:style w:type="paragraph" w:styleId="EndnoteText">
    <w:name w:val="Endnote Text"/>
    <w:basedOn w:val="Normal"/>
    <w:link w:val="TekstprzypisukocowegoZnak"/>
    <w:uiPriority w:val="99"/>
    <w:semiHidden/>
    <w:unhideWhenUsed/>
    <w:rsid w:val="00942aac"/>
    <w:pPr/>
    <w:rPr>
      <w:sz w:val="20"/>
      <w:szCs w:val="20"/>
    </w:rPr>
  </w:style>
  <w:style w:type="paragraph" w:styleId="ListParagraph">
    <w:name w:val="List Paragraph"/>
    <w:basedOn w:val="Normal"/>
    <w:uiPriority w:val="34"/>
    <w:qFormat/>
    <w:rsid w:val="2fd320d3"/>
    <w:pPr>
      <w:spacing w:before="0" w:after="0"/>
      <w:ind w:left="72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Standardowy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oleObject" Target="embeddings/oleObject1.bin"/><Relationship Id="rId4" Type="http://schemas.openxmlformats.org/officeDocument/2006/relationships/image" Target="media/image2.wmf"/><Relationship Id="rId5" Type="http://schemas.openxmlformats.org/officeDocument/2006/relationships/footer" Target="footer1.xml"/><Relationship Id="rId6" Type="http://schemas.openxmlformats.org/officeDocument/2006/relationships/numbering" Target="numbering.xml"/><Relationship Id="rId7" Type="http://schemas.openxmlformats.org/officeDocument/2006/relationships/fontTable" Target="fontTable.xml"/><Relationship Id="rId8" Type="http://schemas.openxmlformats.org/officeDocument/2006/relationships/settings" Target="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<Relationship Id="rId11" Type="http://schemas.openxmlformats.org/officeDocument/2006/relationships/customXml" Target="../customXml/item2.xml"/><Relationship Id="rId12" Type="http://schemas.openxmlformats.org/officeDocument/2006/relationships/customXml" Target="../customXml/item3.xm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 pitchFamily="0" charset="1"/>
        <a:ea typeface=""/>
        <a:cs typeface=""/>
      </a:majorFont>
      <a:minorFont>
        <a:latin typeface="Calibri" panose="020F0502020204030204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_rels/item2.xml.rels><?xml version="1.0" encoding="UTF-8"?>
<Relationships xmlns="http://schemas.openxmlformats.org/package/2006/relationships"><Relationship Id="rId1" Type="http://schemas.openxmlformats.org/officeDocument/2006/relationships/customXmlProps" Target="itemProps2.xml"/>
</Relationships>
</file>

<file path=customXml/_rels/item3.xml.rels><?xml version="1.0" encoding="UTF-8"?>
<Relationships xmlns="http://schemas.openxmlformats.org/package/2006/relationships"><Relationship Id="rId1" Type="http://schemas.openxmlformats.org/officeDocument/2006/relationships/customXmlProps" Target="itemProps3.xml"/>
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689397B8C4AAF4189A18E80A80654D9" ma:contentTypeVersion="5" ma:contentTypeDescription="Utwórz nowy dokument." ma:contentTypeScope="" ma:versionID="0debe9759c2a2cb343042fd66e72a72b">
  <xsd:schema xmlns:xsd="http://www.w3.org/2001/XMLSchema" xmlns:xs="http://www.w3.org/2001/XMLSchema" xmlns:p="http://schemas.microsoft.com/office/2006/metadata/properties" xmlns:ns2="8c6066ec-3877-49a3-b10c-18a72d7ac718" xmlns:ns3="ddb6f9a8-8ab6-4529-a38f-becb8a5be8a1" targetNamespace="http://schemas.microsoft.com/office/2006/metadata/properties" ma:root="true" ma:fieldsID="0822d46b83362b463dbde8b694a5b118" ns2:_="" ns3:_="">
    <xsd:import namespace="8c6066ec-3877-49a3-b10c-18a72d7ac718"/>
    <xsd:import namespace="ddb6f9a8-8ab6-4529-a38f-becb8a5be8a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6066ec-3877-49a3-b10c-18a72d7ac71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b6f9a8-8ab6-4529-a38f-becb8a5be8a1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5796B3-F011-4620-98DC-17FD60367FB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987FAAD-EBB6-4C2E-A962-2EBF78FCC7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c6066ec-3877-49a3-b10c-18a72d7ac718"/>
    <ds:schemaRef ds:uri="ddb6f9a8-8ab6-4529-a38f-becb8a5be8a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FBFD635-B8F0-4EDC-8663-890509AF6B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Application>LibreOffice/7.6.4.1$Windows_X86_64 LibreOffice_project/e19e193f88cd6c0525a17fb7a176ed8e6a3e2aa1</Application>
  <AppVersion>15.0000</AppVersion>
  <Pages>4</Pages>
  <Words>778</Words>
  <Characters>5137</Characters>
  <CharactersWithSpaces>5743</CharactersWithSpaces>
  <Paragraphs>221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2025-02-17T11:47:00Z</dcterms:created>
  <dc:creator>agh</dc:creator>
  <dc:description/>
  <dc:language>pl-PL</dc:language>
  <cp:lastModifiedBy/>
  <cp:lastPrinted>2019-03-28T19:35:00Z</cp:lastPrinted>
  <dcterms:modified xsi:type="dcterms:W3CDTF">2025-02-20T10:40:08Z</dcterms:modified>
  <cp:revision>7</cp:revision>
  <dc:subject/>
  <dc:title>ZARZĄDZENIE REKTORA nr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